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E21321" w:rsidP="007047D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E21321" w:rsidRDefault="007047DB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E21321">
        <w:rPr>
          <w:rFonts w:ascii="Arial" w:hAnsi="Arial" w:cs="Arial"/>
          <w:sz w:val="24"/>
        </w:rPr>
        <w:t xml:space="preserve">Que la implementación de servicios informáticos en los últimos </w:t>
      </w:r>
      <w:r w:rsidR="00F36A78">
        <w:rPr>
          <w:rFonts w:ascii="Arial" w:hAnsi="Arial" w:cs="Arial"/>
          <w:sz w:val="24"/>
        </w:rPr>
        <w:t xml:space="preserve">años </w:t>
      </w:r>
      <w:r w:rsidR="00E21321">
        <w:rPr>
          <w:rFonts w:ascii="Arial" w:hAnsi="Arial" w:cs="Arial"/>
          <w:sz w:val="24"/>
        </w:rPr>
        <w:t xml:space="preserve">han </w:t>
      </w:r>
      <w:r w:rsidR="00F36A78">
        <w:rPr>
          <w:rFonts w:ascii="Arial" w:hAnsi="Arial" w:cs="Arial"/>
          <w:sz w:val="24"/>
        </w:rPr>
        <w:t>reali</w:t>
      </w:r>
      <w:r w:rsidR="00E21321">
        <w:rPr>
          <w:rFonts w:ascii="Arial" w:hAnsi="Arial" w:cs="Arial"/>
          <w:sz w:val="24"/>
        </w:rPr>
        <w:t>zado avances y simplificaciones a los contribuyentes; permitiendo unificar trámites administrativos que son complementarios, como el caso de la declaración de los Ingresos Brutos y la Tasa por Habilitación, Inspección de Seguridad e Higiene.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Que hemos detectado que ambos tributos tienen fechas de vencimiento distintos, lo que ocasionar</w:t>
      </w:r>
      <w:r w:rsidR="00F36A78">
        <w:rPr>
          <w:rFonts w:ascii="Arial" w:hAnsi="Arial" w:cs="Arial"/>
          <w:sz w:val="24"/>
        </w:rPr>
        <w:t>ía</w:t>
      </w:r>
      <w:r>
        <w:rPr>
          <w:rFonts w:ascii="Arial" w:hAnsi="Arial" w:cs="Arial"/>
          <w:sz w:val="24"/>
        </w:rPr>
        <w:t xml:space="preserve"> problemas al implementar un sistema único de Declaración.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Por lo que es conveniente realizar la</w:t>
      </w:r>
      <w:r w:rsidR="007047DB">
        <w:rPr>
          <w:rFonts w:ascii="Arial" w:hAnsi="Arial" w:cs="Arial"/>
          <w:sz w:val="24"/>
        </w:rPr>
        <w:t xml:space="preserve">s modificaciones a la Ordenanza </w:t>
      </w:r>
      <w:r>
        <w:rPr>
          <w:rFonts w:ascii="Arial" w:hAnsi="Arial" w:cs="Arial"/>
          <w:sz w:val="24"/>
        </w:rPr>
        <w:t xml:space="preserve">Nº 9086, </w:t>
      </w:r>
      <w:r w:rsidR="007047DB">
        <w:rPr>
          <w:rFonts w:ascii="Arial" w:hAnsi="Arial" w:cs="Arial"/>
          <w:sz w:val="24"/>
        </w:rPr>
        <w:t>Artículo 19.</w:t>
      </w:r>
    </w:p>
    <w:p w:rsidR="007047DB" w:rsidRDefault="007047DB" w:rsidP="007047D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047DB" w:rsidRDefault="007047DB" w:rsidP="007047DB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7047DB" w:rsidTr="007047DB">
        <w:tc>
          <w:tcPr>
            <w:tcW w:w="4304" w:type="dxa"/>
            <w:shd w:val="clear" w:color="auto" w:fill="auto"/>
          </w:tcPr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7047DB" w:rsidRPr="007047DB" w:rsidRDefault="007047DB" w:rsidP="007047D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7047DB" w:rsidRPr="007047DB" w:rsidRDefault="007047DB" w:rsidP="007047D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7047DB" w:rsidRDefault="007047DB" w:rsidP="007047D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>
      <w:pPr>
        <w:rPr>
          <w:rFonts w:ascii="Arial" w:hAnsi="Arial" w:cs="Arial"/>
          <w:sz w:val="24"/>
        </w:rPr>
      </w:pP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E21321" w:rsidRDefault="00E21321" w:rsidP="007047DB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E21321" w:rsidRDefault="00E21321" w:rsidP="007047DB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TITULO -I- MODIFI</w:t>
      </w:r>
      <w:r w:rsidR="00F36A78">
        <w:rPr>
          <w:rFonts w:ascii="Arial" w:hAnsi="Arial" w:cs="Arial"/>
          <w:b/>
          <w:sz w:val="24"/>
          <w:u w:val="single"/>
        </w:rPr>
        <w:t>CA</w:t>
      </w:r>
      <w:r>
        <w:rPr>
          <w:rFonts w:ascii="Arial" w:hAnsi="Arial" w:cs="Arial"/>
          <w:b/>
          <w:sz w:val="24"/>
          <w:u w:val="single"/>
        </w:rPr>
        <w:t xml:space="preserve"> EL ART</w:t>
      </w:r>
      <w:r w:rsidR="00F36A78">
        <w:rPr>
          <w:rFonts w:ascii="Arial" w:hAnsi="Arial" w:cs="Arial"/>
          <w:b/>
          <w:sz w:val="24"/>
          <w:u w:val="single"/>
        </w:rPr>
        <w:t>ÍCULO</w:t>
      </w:r>
      <w:r>
        <w:rPr>
          <w:rFonts w:ascii="Arial" w:hAnsi="Arial" w:cs="Arial"/>
          <w:b/>
          <w:sz w:val="24"/>
          <w:u w:val="single"/>
        </w:rPr>
        <w:t xml:space="preserve"> 19</w:t>
      </w:r>
      <w:r w:rsidR="00F36A78">
        <w:rPr>
          <w:rFonts w:ascii="Arial" w:hAnsi="Arial" w:cs="Arial"/>
          <w:b/>
          <w:sz w:val="24"/>
          <w:u w:val="single"/>
        </w:rPr>
        <w:t xml:space="preserve"> DE LA ORDENANZA Nº 9086</w:t>
      </w:r>
    </w:p>
    <w:p w:rsidR="00E21321" w:rsidRDefault="00E21321" w:rsidP="00F36A7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>
        <w:rPr>
          <w:rFonts w:ascii="Arial" w:hAnsi="Arial" w:cs="Arial"/>
          <w:sz w:val="24"/>
        </w:rPr>
        <w:t xml:space="preserve"> Modif</w:t>
      </w:r>
      <w:r w:rsidR="00F36A78">
        <w:rPr>
          <w:rFonts w:ascii="Arial" w:hAnsi="Arial" w:cs="Arial"/>
          <w:sz w:val="24"/>
        </w:rPr>
        <w:t>íquese</w:t>
      </w:r>
      <w:r>
        <w:rPr>
          <w:rFonts w:ascii="Arial" w:hAnsi="Arial" w:cs="Arial"/>
          <w:sz w:val="24"/>
        </w:rPr>
        <w:t xml:space="preserve"> el </w:t>
      </w:r>
      <w:r w:rsidR="00CE08A6">
        <w:rPr>
          <w:rFonts w:ascii="Arial" w:hAnsi="Arial" w:cs="Arial"/>
          <w:sz w:val="24"/>
        </w:rPr>
        <w:t>Artículo</w:t>
      </w:r>
      <w:r w:rsidR="00F36A78">
        <w:rPr>
          <w:rFonts w:ascii="Arial" w:hAnsi="Arial" w:cs="Arial"/>
          <w:sz w:val="24"/>
        </w:rPr>
        <w:t xml:space="preserve"> 19</w:t>
      </w:r>
      <w:r w:rsidR="002D256E">
        <w:rPr>
          <w:rFonts w:ascii="Arial" w:hAnsi="Arial" w:cs="Arial"/>
          <w:sz w:val="24"/>
        </w:rPr>
        <w:t xml:space="preserve"> de la Ordenanza Nº 9086, el que quedar</w:t>
      </w:r>
      <w:r w:rsidR="00F36A78">
        <w:rPr>
          <w:rFonts w:ascii="Arial" w:hAnsi="Arial" w:cs="Arial"/>
          <w:sz w:val="24"/>
        </w:rPr>
        <w:t>á</w:t>
      </w:r>
      <w:r w:rsidR="002D256E">
        <w:rPr>
          <w:rFonts w:ascii="Arial" w:hAnsi="Arial" w:cs="Arial"/>
          <w:sz w:val="24"/>
        </w:rPr>
        <w:t xml:space="preserve"> </w:t>
      </w:r>
      <w:r w:rsidR="00F36A78">
        <w:rPr>
          <w:rFonts w:ascii="Arial" w:hAnsi="Arial" w:cs="Arial"/>
          <w:sz w:val="24"/>
        </w:rPr>
        <w:br/>
        <w:t xml:space="preserve">                     redactado </w:t>
      </w:r>
      <w:r w:rsidR="002D256E">
        <w:rPr>
          <w:rFonts w:ascii="Arial" w:hAnsi="Arial" w:cs="Arial"/>
          <w:sz w:val="24"/>
        </w:rPr>
        <w:t>de la siguiente manera:</w:t>
      </w:r>
    </w:p>
    <w:p w:rsidR="002D256E" w:rsidRDefault="00F36A78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“</w:t>
      </w:r>
      <w:r w:rsidR="002D256E">
        <w:rPr>
          <w:rFonts w:ascii="Arial" w:hAnsi="Arial" w:cs="Arial"/>
          <w:b/>
          <w:sz w:val="24"/>
          <w:u w:val="single"/>
        </w:rPr>
        <w:t>Art</w:t>
      </w:r>
      <w:r>
        <w:rPr>
          <w:rFonts w:ascii="Arial" w:hAnsi="Arial" w:cs="Arial"/>
          <w:b/>
          <w:sz w:val="24"/>
          <w:u w:val="single"/>
        </w:rPr>
        <w:t>í</w:t>
      </w:r>
      <w:r w:rsidR="002D256E">
        <w:rPr>
          <w:rFonts w:ascii="Arial" w:hAnsi="Arial" w:cs="Arial"/>
          <w:b/>
          <w:sz w:val="24"/>
          <w:u w:val="single"/>
        </w:rPr>
        <w:t>culo 19.-</w:t>
      </w:r>
      <w:r w:rsidR="002D256E">
        <w:rPr>
          <w:rFonts w:ascii="Arial" w:hAnsi="Arial" w:cs="Arial"/>
          <w:sz w:val="24"/>
        </w:rPr>
        <w:t xml:space="preserve"> A los efectos de la Tasa establecida en el </w:t>
      </w:r>
      <w:r w:rsidR="00511BD9">
        <w:rPr>
          <w:rFonts w:ascii="Arial" w:hAnsi="Arial" w:cs="Arial"/>
          <w:sz w:val="24"/>
        </w:rPr>
        <w:t>Título</w:t>
      </w:r>
      <w:r w:rsidR="002D256E">
        <w:rPr>
          <w:rFonts w:ascii="Arial" w:hAnsi="Arial" w:cs="Arial"/>
          <w:sz w:val="24"/>
        </w:rPr>
        <w:t xml:space="preserve"> V, </w:t>
      </w:r>
      <w:r w:rsidR="00511BD9">
        <w:rPr>
          <w:rFonts w:ascii="Arial" w:hAnsi="Arial" w:cs="Arial"/>
          <w:sz w:val="24"/>
        </w:rPr>
        <w:t>Artículo</w:t>
      </w:r>
      <w:r>
        <w:rPr>
          <w:rFonts w:ascii="Arial" w:hAnsi="Arial" w:cs="Arial"/>
          <w:sz w:val="24"/>
        </w:rPr>
        <w:t xml:space="preserve"> 177</w:t>
      </w:r>
      <w:r w:rsidR="002D256E">
        <w:rPr>
          <w:rFonts w:ascii="Arial" w:hAnsi="Arial" w:cs="Arial"/>
          <w:sz w:val="24"/>
        </w:rPr>
        <w:t xml:space="preserve"> del </w:t>
      </w:r>
      <w:r w:rsidR="00996E1C">
        <w:rPr>
          <w:rFonts w:ascii="Arial" w:hAnsi="Arial" w:cs="Arial"/>
          <w:sz w:val="24"/>
        </w:rPr>
        <w:br/>
        <w:t xml:space="preserve">                     </w:t>
      </w:r>
      <w:r>
        <w:rPr>
          <w:rFonts w:ascii="Arial" w:hAnsi="Arial" w:cs="Arial"/>
          <w:sz w:val="24"/>
        </w:rPr>
        <w:t xml:space="preserve">  </w:t>
      </w:r>
      <w:r w:rsidR="00511BD9">
        <w:rPr>
          <w:rFonts w:ascii="Arial" w:hAnsi="Arial" w:cs="Arial"/>
          <w:sz w:val="24"/>
        </w:rPr>
        <w:t>Código</w:t>
      </w:r>
      <w:r w:rsidR="002D256E">
        <w:rPr>
          <w:rFonts w:ascii="Arial" w:hAnsi="Arial" w:cs="Arial"/>
          <w:sz w:val="24"/>
        </w:rPr>
        <w:t xml:space="preserve"> Fiscal Municipal fíjense los siguientes valores:</w:t>
      </w:r>
    </w:p>
    <w:p w:rsidR="002D256E" w:rsidRDefault="002D256E" w:rsidP="007047D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Abonar</w:t>
      </w:r>
      <w:r w:rsidR="00F36A78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 xml:space="preserve">n una alícuota del Dos por Ciento (2,0%) mensual, de acuerdo con lo especificado en el </w:t>
      </w:r>
      <w:r w:rsidR="00511BD9">
        <w:rPr>
          <w:rFonts w:ascii="Arial" w:hAnsi="Arial" w:cs="Arial"/>
          <w:sz w:val="24"/>
        </w:rPr>
        <w:t>Artículo</w:t>
      </w:r>
      <w:r>
        <w:rPr>
          <w:rFonts w:ascii="Arial" w:hAnsi="Arial" w:cs="Arial"/>
          <w:sz w:val="24"/>
        </w:rPr>
        <w:t xml:space="preserve"> 185</w:t>
      </w:r>
      <w:r w:rsidR="00511BD9">
        <w:rPr>
          <w:rFonts w:ascii="Arial" w:hAnsi="Arial" w:cs="Arial"/>
          <w:sz w:val="24"/>
        </w:rPr>
        <w:t>, todas las actividades, siempre que superen el mínimo anual fraccion</w:t>
      </w:r>
      <w:r w:rsidR="00F36A78">
        <w:rPr>
          <w:rFonts w:ascii="Arial" w:hAnsi="Arial" w:cs="Arial"/>
          <w:sz w:val="24"/>
        </w:rPr>
        <w:t>ado</w:t>
      </w:r>
      <w:r w:rsidR="00511BD9">
        <w:rPr>
          <w:rFonts w:ascii="Arial" w:hAnsi="Arial" w:cs="Arial"/>
          <w:sz w:val="24"/>
        </w:rPr>
        <w:t xml:space="preserve"> en mes de las detalladas en el Inciso c) del presente Artículo, quienes se encuentren dentro del Convenio Multilateral.</w:t>
      </w:r>
    </w:p>
    <w:p w:rsidR="00F36A78" w:rsidRDefault="00511BD9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 w:rsidRPr="00996E1C">
        <w:rPr>
          <w:rFonts w:ascii="Arial" w:hAnsi="Arial" w:cs="Arial"/>
          <w:sz w:val="24"/>
        </w:rPr>
        <w:t>Asimismo, se establece un monto mínimo a abonar en relació</w:t>
      </w:r>
      <w:r w:rsidR="00F36A78">
        <w:rPr>
          <w:rFonts w:ascii="Arial" w:hAnsi="Arial" w:cs="Arial"/>
          <w:sz w:val="24"/>
        </w:rPr>
        <w:t xml:space="preserve">n al Artículo anterior, según </w:t>
      </w:r>
      <w:r w:rsidRPr="00996E1C">
        <w:rPr>
          <w:rFonts w:ascii="Arial" w:hAnsi="Arial" w:cs="Arial"/>
          <w:sz w:val="24"/>
        </w:rPr>
        <w:t>la categoría otorgada por la Habilitación Comercial, dicho Artículo no se aplica al Inciso c) del presente Artículo</w:t>
      </w:r>
      <w:r w:rsidR="00F36A78">
        <w:rPr>
          <w:rFonts w:ascii="Arial" w:hAnsi="Arial" w:cs="Arial"/>
          <w:sz w:val="24"/>
        </w:rPr>
        <w:t>:</w:t>
      </w:r>
    </w:p>
    <w:p w:rsidR="00CE08A6" w:rsidRPr="00F36A78" w:rsidRDefault="00A07F58" w:rsidP="00F36A7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</w:t>
      </w:r>
      <w:r w:rsidR="00CE08A6" w:rsidRPr="00F36A78">
        <w:rPr>
          <w:rFonts w:ascii="Arial" w:hAnsi="Arial" w:cs="Arial"/>
          <w:sz w:val="24"/>
        </w:rPr>
        <w:t xml:space="preserve"> I: 20 </w:t>
      </w:r>
      <w:r w:rsidRPr="00F36A78">
        <w:rPr>
          <w:rFonts w:ascii="Arial" w:hAnsi="Arial" w:cs="Arial"/>
          <w:sz w:val="24"/>
        </w:rPr>
        <w:t>Módulos</w:t>
      </w:r>
      <w:r w:rsidR="00CE08A6" w:rsidRPr="00F36A78">
        <w:rPr>
          <w:rFonts w:ascii="Arial" w:hAnsi="Arial" w:cs="Arial"/>
          <w:sz w:val="24"/>
        </w:rPr>
        <w:t>.</w:t>
      </w:r>
    </w:p>
    <w:p w:rsidR="00CE08A6" w:rsidRDefault="00A07F58" w:rsidP="007047D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</w:t>
      </w:r>
      <w:r w:rsidR="00CE08A6">
        <w:rPr>
          <w:rFonts w:ascii="Arial" w:hAnsi="Arial" w:cs="Arial"/>
          <w:sz w:val="24"/>
        </w:rPr>
        <w:t xml:space="preserve"> II: 32 </w:t>
      </w:r>
      <w:r>
        <w:rPr>
          <w:rFonts w:ascii="Arial" w:hAnsi="Arial" w:cs="Arial"/>
          <w:sz w:val="24"/>
        </w:rPr>
        <w:t>Módulos</w:t>
      </w:r>
      <w:r w:rsidR="00CE08A6">
        <w:rPr>
          <w:rFonts w:ascii="Arial" w:hAnsi="Arial" w:cs="Arial"/>
          <w:sz w:val="24"/>
        </w:rPr>
        <w:t>.</w:t>
      </w:r>
    </w:p>
    <w:p w:rsidR="00CE08A6" w:rsidRDefault="00A07F58" w:rsidP="007047D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</w:t>
      </w:r>
      <w:r w:rsidR="00CE08A6">
        <w:rPr>
          <w:rFonts w:ascii="Arial" w:hAnsi="Arial" w:cs="Arial"/>
          <w:sz w:val="24"/>
        </w:rPr>
        <w:t xml:space="preserve"> III: 48 </w:t>
      </w:r>
      <w:r>
        <w:rPr>
          <w:rFonts w:ascii="Arial" w:hAnsi="Arial" w:cs="Arial"/>
          <w:sz w:val="24"/>
        </w:rPr>
        <w:t>Módulos</w:t>
      </w:r>
      <w:r w:rsidR="00CE08A6">
        <w:rPr>
          <w:rFonts w:ascii="Arial" w:hAnsi="Arial" w:cs="Arial"/>
          <w:sz w:val="24"/>
        </w:rPr>
        <w:t>.</w:t>
      </w:r>
    </w:p>
    <w:p w:rsidR="00CE08A6" w:rsidRDefault="00A07F58" w:rsidP="007047D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Categoría</w:t>
      </w:r>
      <w:r w:rsidR="00CE08A6">
        <w:rPr>
          <w:rFonts w:ascii="Arial" w:hAnsi="Arial" w:cs="Arial"/>
          <w:sz w:val="24"/>
        </w:rPr>
        <w:t xml:space="preserve"> IV: 64 </w:t>
      </w:r>
      <w:r>
        <w:rPr>
          <w:rFonts w:ascii="Arial" w:hAnsi="Arial" w:cs="Arial"/>
          <w:sz w:val="24"/>
        </w:rPr>
        <w:t>Módulos</w:t>
      </w:r>
      <w:r w:rsidR="00CE08A6">
        <w:rPr>
          <w:rFonts w:ascii="Arial" w:hAnsi="Arial" w:cs="Arial"/>
          <w:sz w:val="24"/>
        </w:rPr>
        <w:t>.</w:t>
      </w:r>
    </w:p>
    <w:p w:rsidR="00CE08A6" w:rsidRPr="00F36A78" w:rsidRDefault="00CE08A6" w:rsidP="00F36A7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De acuerdo con lo especificado en el Artículo 179 del Código Fiscal Municipal quienes, por su actividad comercial, industrial, de servicios, construcción y otras a</w:t>
      </w:r>
      <w:r w:rsidR="00F36A78">
        <w:rPr>
          <w:rFonts w:ascii="Arial" w:hAnsi="Arial" w:cs="Arial"/>
          <w:sz w:val="24"/>
        </w:rPr>
        <w:t>lcanzadas por esta Tasa, abonará</w:t>
      </w:r>
      <w:r w:rsidRPr="00F36A78">
        <w:rPr>
          <w:rFonts w:ascii="Arial" w:hAnsi="Arial" w:cs="Arial"/>
          <w:sz w:val="24"/>
        </w:rPr>
        <w:t>n una alícuota de acuerdo a la categoría otorgada por la Dirección de Comercio e Industria</w:t>
      </w:r>
      <w:r w:rsidR="00991B9F" w:rsidRPr="00F36A78">
        <w:rPr>
          <w:rFonts w:ascii="Arial" w:hAnsi="Arial" w:cs="Arial"/>
          <w:sz w:val="24"/>
        </w:rPr>
        <w:t>:</w:t>
      </w:r>
    </w:p>
    <w:p w:rsidR="00991B9F" w:rsidRPr="00F36A78" w:rsidRDefault="00991B9F" w:rsidP="00F36A78">
      <w:pPr>
        <w:pStyle w:val="Prrafodelista"/>
        <w:numPr>
          <w:ilvl w:val="0"/>
          <w:numId w:val="4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I: alícuota 0.50%.</w:t>
      </w:r>
    </w:p>
    <w:p w:rsidR="00991B9F" w:rsidRPr="00F36A78" w:rsidRDefault="00991B9F" w:rsidP="00F36A78">
      <w:pPr>
        <w:pStyle w:val="Prrafodelista"/>
        <w:numPr>
          <w:ilvl w:val="0"/>
          <w:numId w:val="4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II: alícuota 0.80%.</w:t>
      </w:r>
    </w:p>
    <w:p w:rsidR="00991B9F" w:rsidRPr="00F36A78" w:rsidRDefault="00991B9F" w:rsidP="00F36A78">
      <w:pPr>
        <w:pStyle w:val="Prrafodelista"/>
        <w:numPr>
          <w:ilvl w:val="0"/>
          <w:numId w:val="4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III: alícuota 1.20%.</w:t>
      </w:r>
    </w:p>
    <w:p w:rsidR="00991B9F" w:rsidRPr="00F36A78" w:rsidRDefault="00991B9F" w:rsidP="00F36A78">
      <w:pPr>
        <w:pStyle w:val="Prrafodelista"/>
        <w:numPr>
          <w:ilvl w:val="0"/>
          <w:numId w:val="4"/>
        </w:numPr>
        <w:spacing w:after="0" w:line="360" w:lineRule="auto"/>
        <w:ind w:left="1418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>Categoría IV: alícuota 1.50%.</w:t>
      </w:r>
    </w:p>
    <w:p w:rsidR="00991B9F" w:rsidRDefault="00991B9F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La </w:t>
      </w:r>
      <w:r w:rsidR="00F36A78">
        <w:rPr>
          <w:rFonts w:ascii="Arial" w:hAnsi="Arial" w:cs="Arial"/>
          <w:sz w:val="24"/>
        </w:rPr>
        <w:t xml:space="preserve">Tasa </w:t>
      </w:r>
      <w:r>
        <w:rPr>
          <w:rFonts w:ascii="Arial" w:hAnsi="Arial" w:cs="Arial"/>
          <w:sz w:val="24"/>
        </w:rPr>
        <w:t xml:space="preserve">se abonará mensualmente aplicando la </w:t>
      </w:r>
      <w:r w:rsidR="00022CE2">
        <w:rPr>
          <w:rFonts w:ascii="Arial" w:hAnsi="Arial" w:cs="Arial"/>
          <w:sz w:val="24"/>
        </w:rPr>
        <w:t>alícuota</w:t>
      </w:r>
      <w:r>
        <w:rPr>
          <w:rFonts w:ascii="Arial" w:hAnsi="Arial" w:cs="Arial"/>
          <w:sz w:val="24"/>
        </w:rPr>
        <w:t xml:space="preserve"> que corresponda a la facturación</w:t>
      </w:r>
      <w:r w:rsidR="00022CE2">
        <w:rPr>
          <w:rFonts w:ascii="Arial" w:hAnsi="Arial" w:cs="Arial"/>
          <w:sz w:val="24"/>
        </w:rPr>
        <w:t xml:space="preserve"> del mes respectivo y se ingresará, cuando corresponda, junto a la liquidación del Impuesto sobre los Ingresos Brutos</w:t>
      </w:r>
    </w:p>
    <w:p w:rsidR="00022CE2" w:rsidRPr="00F36A78" w:rsidRDefault="00022CE2" w:rsidP="00F36A7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F36A78">
        <w:rPr>
          <w:rFonts w:ascii="Arial" w:hAnsi="Arial" w:cs="Arial"/>
          <w:sz w:val="24"/>
        </w:rPr>
        <w:t xml:space="preserve">Abonarán un monto fijo </w:t>
      </w:r>
      <w:r w:rsidR="00996E1C" w:rsidRPr="00F36A78">
        <w:rPr>
          <w:rFonts w:ascii="Arial" w:hAnsi="Arial" w:cs="Arial"/>
          <w:sz w:val="24"/>
        </w:rPr>
        <w:t>mínimo</w:t>
      </w:r>
      <w:r w:rsidRPr="00F36A78">
        <w:rPr>
          <w:rFonts w:ascii="Arial" w:hAnsi="Arial" w:cs="Arial"/>
          <w:sz w:val="24"/>
        </w:rPr>
        <w:t xml:space="preserve"> anual: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Bancos </w:t>
      </w:r>
      <w:r w:rsidR="00996E1C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>: 50000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Casinos </w:t>
      </w:r>
      <w:r w:rsidR="00996E1C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>: 70000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Casinos </w:t>
      </w:r>
      <w:r w:rsidR="00F14885">
        <w:rPr>
          <w:rFonts w:ascii="Arial" w:hAnsi="Arial" w:cs="Arial"/>
          <w:sz w:val="24"/>
        </w:rPr>
        <w:t>Electrónicos</w:t>
      </w:r>
      <w:r>
        <w:rPr>
          <w:rFonts w:ascii="Arial" w:hAnsi="Arial" w:cs="Arial"/>
          <w:sz w:val="24"/>
        </w:rPr>
        <w:t xml:space="preserve"> </w:t>
      </w:r>
      <w:r w:rsidR="00F14885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 xml:space="preserve">: </w:t>
      </w:r>
      <w:r w:rsidR="00F36A78">
        <w:rPr>
          <w:rFonts w:ascii="Arial" w:hAnsi="Arial" w:cs="Arial"/>
          <w:sz w:val="24"/>
        </w:rPr>
        <w:t>49600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Financieras Módulos: 9800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Entidades de crédito y </w:t>
      </w:r>
      <w:r w:rsidR="003C2D99">
        <w:rPr>
          <w:rFonts w:ascii="Arial" w:hAnsi="Arial" w:cs="Arial"/>
          <w:sz w:val="24"/>
        </w:rPr>
        <w:t>Entidades</w:t>
      </w:r>
      <w:r>
        <w:rPr>
          <w:rFonts w:ascii="Arial" w:hAnsi="Arial" w:cs="Arial"/>
          <w:sz w:val="24"/>
        </w:rPr>
        <w:t xml:space="preserve"> de crédito para consumo </w:t>
      </w:r>
      <w:r w:rsidR="003C2D99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>: 8000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A.R.T o similares dentro de Bancos Entidades Financieras </w:t>
      </w:r>
      <w:r w:rsidR="003C2D99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>: 5000</w:t>
      </w:r>
    </w:p>
    <w:p w:rsidR="00022CE2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Cajero </w:t>
      </w:r>
      <w:r w:rsidR="00F14885">
        <w:rPr>
          <w:rFonts w:ascii="Arial" w:hAnsi="Arial" w:cs="Arial"/>
          <w:sz w:val="24"/>
        </w:rPr>
        <w:t>Automático</w:t>
      </w:r>
      <w:r>
        <w:rPr>
          <w:rFonts w:ascii="Arial" w:hAnsi="Arial" w:cs="Arial"/>
          <w:sz w:val="24"/>
        </w:rPr>
        <w:t xml:space="preserve"> C/U </w:t>
      </w:r>
      <w:r w:rsidR="00F14885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>: 2000. Los cajeros que se ubiquen fuera de las instalaciones de sedes y/o sucursales, quedan exentos del pago del presente gravamen.</w:t>
      </w:r>
    </w:p>
    <w:p w:rsidR="009103BE" w:rsidRDefault="00022CE2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Industrias de productos de la pesca según superficie de construcción por establecimiento</w:t>
      </w:r>
      <w:r w:rsidR="009103BE">
        <w:rPr>
          <w:rFonts w:ascii="Arial" w:hAnsi="Arial" w:cs="Arial"/>
          <w:sz w:val="24"/>
        </w:rPr>
        <w:t>:</w:t>
      </w:r>
    </w:p>
    <w:p w:rsidR="009103BE" w:rsidRDefault="009103BE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Establecimientos hasta 4.000 m2                       6000 Módulos por m2</w:t>
      </w:r>
    </w:p>
    <w:p w:rsidR="009103BE" w:rsidRDefault="009103BE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Establecimientos entre 4001 y 5000</w:t>
      </w:r>
      <w:r w:rsidR="00F36A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m2             5000 Módulos por m2</w:t>
      </w:r>
    </w:p>
    <w:p w:rsidR="009103BE" w:rsidRDefault="009103BE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Establecimientos con más de 5000 m2              4000 </w:t>
      </w:r>
      <w:r w:rsidR="003C2D99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 xml:space="preserve"> por m2</w:t>
      </w:r>
    </w:p>
    <w:p w:rsidR="00F14885" w:rsidRDefault="00F14885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todos los casos enumerados en el Inciso b) las Tasas es</w:t>
      </w:r>
      <w:r w:rsidR="009E188F">
        <w:rPr>
          <w:rFonts w:ascii="Arial" w:hAnsi="Arial" w:cs="Arial"/>
          <w:sz w:val="24"/>
        </w:rPr>
        <w:t>tablecidas son anuales, sin perjuicio de la reglamentación que el Poder Ejecutivo dictare en cuanto a la forma, condiciones y plazos de pago. La forma de pago será mensual, consecutiva y proporcional, considerados a cuenta de la obligación anual del presente tributo y sin perjuicio a que los mismos no hayan realizado actividad en algún periodo del año o producido ingresos en sus establecimientos.</w:t>
      </w:r>
    </w:p>
    <w:p w:rsidR="009E188F" w:rsidRDefault="009E188F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autoriza a la Secretar</w:t>
      </w:r>
      <w:r w:rsidR="00F36A78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>a de Hacienda a otorgar descuentos sobre los recargos emergentes por deudas en las Obligaciones Tributari</w:t>
      </w:r>
      <w:r w:rsidR="00F36A78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 de los contribuyentes, por la cancelación total de deuda vencida de ejercicios anteriores.</w:t>
      </w:r>
    </w:p>
    <w:p w:rsidR="00CD5768" w:rsidRDefault="00CD5768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montos fijos anuales citados en el </w:t>
      </w:r>
      <w:r w:rsidR="00F36A78">
        <w:rPr>
          <w:rFonts w:ascii="Arial" w:hAnsi="Arial" w:cs="Arial"/>
          <w:sz w:val="24"/>
        </w:rPr>
        <w:t xml:space="preserve">Inciso </w:t>
      </w:r>
      <w:r>
        <w:rPr>
          <w:rFonts w:ascii="Arial" w:hAnsi="Arial" w:cs="Arial"/>
          <w:sz w:val="24"/>
        </w:rPr>
        <w:t xml:space="preserve">c) del </w:t>
      </w:r>
      <w:r w:rsidR="00695F8B">
        <w:rPr>
          <w:rFonts w:ascii="Arial" w:hAnsi="Arial" w:cs="Arial"/>
          <w:sz w:val="24"/>
        </w:rPr>
        <w:t>presente</w:t>
      </w:r>
      <w:r>
        <w:rPr>
          <w:rFonts w:ascii="Arial" w:hAnsi="Arial" w:cs="Arial"/>
          <w:sz w:val="24"/>
        </w:rPr>
        <w:t xml:space="preserve"> </w:t>
      </w:r>
      <w:r w:rsidR="00996E1C">
        <w:rPr>
          <w:rFonts w:ascii="Arial" w:hAnsi="Arial" w:cs="Arial"/>
          <w:sz w:val="24"/>
        </w:rPr>
        <w:t>Artículo</w:t>
      </w:r>
      <w:r>
        <w:rPr>
          <w:rFonts w:ascii="Arial" w:hAnsi="Arial" w:cs="Arial"/>
          <w:sz w:val="24"/>
        </w:rPr>
        <w:t>, se abonarán en Doce (12) cuotas mensuales, iguales y consecutivas.</w:t>
      </w:r>
    </w:p>
    <w:p w:rsidR="00CD5768" w:rsidRDefault="00695F8B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Fíjese</w:t>
      </w:r>
      <w:r w:rsidR="00CD5768">
        <w:rPr>
          <w:rFonts w:ascii="Arial" w:hAnsi="Arial" w:cs="Arial"/>
          <w:sz w:val="24"/>
        </w:rPr>
        <w:t xml:space="preserve"> para el pago de dicha obligación los días </w:t>
      </w:r>
      <w:r w:rsidR="007047DB">
        <w:rPr>
          <w:rFonts w:ascii="Arial" w:hAnsi="Arial" w:cs="Arial"/>
          <w:sz w:val="24"/>
        </w:rPr>
        <w:t xml:space="preserve">Veinte </w:t>
      </w:r>
      <w:r w:rsidR="00CD5768">
        <w:rPr>
          <w:rFonts w:ascii="Arial" w:hAnsi="Arial" w:cs="Arial"/>
          <w:sz w:val="24"/>
        </w:rPr>
        <w:t>(20) del mes siguiente o hábil posterior.</w:t>
      </w:r>
    </w:p>
    <w:p w:rsidR="00CD5768" w:rsidRDefault="007047DB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lastRenderedPageBreak/>
        <w:t>SANCIONES:</w:t>
      </w:r>
    </w:p>
    <w:p w:rsidR="00CD5768" w:rsidRDefault="00CD5768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falta de pago de Dos (2) cuotas mensuales y consecutivas</w:t>
      </w:r>
      <w:r w:rsidR="00695F8B">
        <w:rPr>
          <w:rFonts w:ascii="Arial" w:hAnsi="Arial" w:cs="Arial"/>
          <w:sz w:val="24"/>
        </w:rPr>
        <w:t xml:space="preserve"> de la Tasa por Inspección de Seguridad e Higiene, habilitar</w:t>
      </w:r>
      <w:r w:rsidR="00F36A78">
        <w:rPr>
          <w:rFonts w:ascii="Arial" w:hAnsi="Arial" w:cs="Arial"/>
          <w:sz w:val="24"/>
        </w:rPr>
        <w:t>á</w:t>
      </w:r>
      <w:r w:rsidR="00695F8B">
        <w:rPr>
          <w:rFonts w:ascii="Arial" w:hAnsi="Arial" w:cs="Arial"/>
          <w:sz w:val="24"/>
        </w:rPr>
        <w:t xml:space="preserve"> a este Municipio a aplicar la siguiente escala de multas:</w:t>
      </w:r>
    </w:p>
    <w:p w:rsidR="00695F8B" w:rsidRDefault="00695F8B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Primera falta: Una multa del 50% de la Tasa evadida, omitida o dejada de pagar con un </w:t>
      </w:r>
      <w:r w:rsidR="00A66958">
        <w:rPr>
          <w:rFonts w:ascii="Arial" w:hAnsi="Arial" w:cs="Arial"/>
          <w:sz w:val="24"/>
        </w:rPr>
        <w:t>mínimo</w:t>
      </w:r>
      <w:r>
        <w:rPr>
          <w:rFonts w:ascii="Arial" w:hAnsi="Arial" w:cs="Arial"/>
          <w:sz w:val="24"/>
        </w:rPr>
        <w:t xml:space="preserve"> de </w:t>
      </w:r>
      <w:r w:rsidR="00A66958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 xml:space="preserve">: 100, </w:t>
      </w:r>
      <w:r w:rsidR="00A66958">
        <w:rPr>
          <w:rFonts w:ascii="Arial" w:hAnsi="Arial" w:cs="Arial"/>
          <w:sz w:val="24"/>
        </w:rPr>
        <w:t>más</w:t>
      </w:r>
      <w:r>
        <w:rPr>
          <w:rFonts w:ascii="Arial" w:hAnsi="Arial" w:cs="Arial"/>
          <w:sz w:val="24"/>
        </w:rPr>
        <w:t xml:space="preserve"> los anticipos omitidos</w:t>
      </w:r>
      <w:r w:rsidR="00F36A78">
        <w:rPr>
          <w:rFonts w:ascii="Arial" w:hAnsi="Arial" w:cs="Arial"/>
          <w:sz w:val="24"/>
        </w:rPr>
        <w:t>.</w:t>
      </w:r>
    </w:p>
    <w:p w:rsidR="00A66958" w:rsidRDefault="00A66958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Segunda falta: Una multa del 100% de la Tasa evadida, omitida o dejada de pagar, con un </w:t>
      </w:r>
      <w:r w:rsidR="00CC0EDA">
        <w:rPr>
          <w:rFonts w:ascii="Arial" w:hAnsi="Arial" w:cs="Arial"/>
          <w:sz w:val="24"/>
        </w:rPr>
        <w:t>mínimo</w:t>
      </w:r>
      <w:r>
        <w:rPr>
          <w:rFonts w:ascii="Arial" w:hAnsi="Arial" w:cs="Arial"/>
          <w:sz w:val="24"/>
        </w:rPr>
        <w:t xml:space="preserve"> de </w:t>
      </w:r>
      <w:r w:rsidR="00CC0EDA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 xml:space="preserve">: 140, </w:t>
      </w:r>
      <w:r w:rsidR="00CC0EDA">
        <w:rPr>
          <w:rFonts w:ascii="Arial" w:hAnsi="Arial" w:cs="Arial"/>
          <w:sz w:val="24"/>
        </w:rPr>
        <w:t>más</w:t>
      </w:r>
      <w:r>
        <w:rPr>
          <w:rFonts w:ascii="Arial" w:hAnsi="Arial" w:cs="Arial"/>
          <w:sz w:val="24"/>
        </w:rPr>
        <w:t xml:space="preserve"> los anticipos </w:t>
      </w:r>
      <w:r w:rsidR="00CC0EDA">
        <w:rPr>
          <w:rFonts w:ascii="Arial" w:hAnsi="Arial" w:cs="Arial"/>
          <w:sz w:val="24"/>
        </w:rPr>
        <w:t>omitidos</w:t>
      </w:r>
      <w:r>
        <w:rPr>
          <w:rFonts w:ascii="Arial" w:hAnsi="Arial" w:cs="Arial"/>
          <w:sz w:val="24"/>
        </w:rPr>
        <w:t xml:space="preserve"> y la clausura del local comercial por </w:t>
      </w:r>
      <w:r w:rsidR="00F36A78">
        <w:rPr>
          <w:rFonts w:ascii="Arial" w:hAnsi="Arial" w:cs="Arial"/>
          <w:sz w:val="24"/>
        </w:rPr>
        <w:t xml:space="preserve">Cuarenta </w:t>
      </w:r>
      <w:r>
        <w:rPr>
          <w:rFonts w:ascii="Arial" w:hAnsi="Arial" w:cs="Arial"/>
          <w:sz w:val="24"/>
        </w:rPr>
        <w:t>y Ocho (48) horas.</w:t>
      </w:r>
    </w:p>
    <w:p w:rsidR="00A66958" w:rsidRPr="00CD5768" w:rsidRDefault="00A66958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Tercera falta una multa del 200% de la Tasa evadida, omitida o dejada de pagar, con </w:t>
      </w:r>
      <w:r w:rsidR="00CC0EDA">
        <w:rPr>
          <w:rFonts w:ascii="Arial" w:hAnsi="Arial" w:cs="Arial"/>
          <w:sz w:val="24"/>
        </w:rPr>
        <w:t>mínimo</w:t>
      </w:r>
      <w:r>
        <w:rPr>
          <w:rFonts w:ascii="Arial" w:hAnsi="Arial" w:cs="Arial"/>
          <w:sz w:val="24"/>
        </w:rPr>
        <w:t xml:space="preserve"> de </w:t>
      </w:r>
      <w:r w:rsidR="00F36A78">
        <w:rPr>
          <w:rFonts w:ascii="Arial" w:hAnsi="Arial" w:cs="Arial"/>
          <w:sz w:val="24"/>
        </w:rPr>
        <w:t>Módulos</w:t>
      </w:r>
      <w:r>
        <w:rPr>
          <w:rFonts w:ascii="Arial" w:hAnsi="Arial" w:cs="Arial"/>
          <w:sz w:val="24"/>
        </w:rPr>
        <w:t xml:space="preserve">: 270, </w:t>
      </w:r>
      <w:r w:rsidR="00CC0EDA">
        <w:rPr>
          <w:rFonts w:ascii="Arial" w:hAnsi="Arial" w:cs="Arial"/>
          <w:sz w:val="24"/>
        </w:rPr>
        <w:t>más</w:t>
      </w:r>
      <w:r>
        <w:rPr>
          <w:rFonts w:ascii="Arial" w:hAnsi="Arial" w:cs="Arial"/>
          <w:sz w:val="24"/>
        </w:rPr>
        <w:t xml:space="preserve"> los anticipos omitidos y clausura definitiva del local. Ante la aplicación de la segunda y tercera falta cometidas la clausura será de aplicación inme</w:t>
      </w:r>
      <w:r w:rsidR="00CC0EDA">
        <w:rPr>
          <w:rFonts w:ascii="Arial" w:hAnsi="Arial" w:cs="Arial"/>
          <w:sz w:val="24"/>
        </w:rPr>
        <w:t>diata.</w:t>
      </w:r>
      <w:r w:rsidR="00F36A78">
        <w:rPr>
          <w:rFonts w:ascii="Arial" w:hAnsi="Arial" w:cs="Arial"/>
          <w:sz w:val="24"/>
        </w:rPr>
        <w:t>-”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="00A07F5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Dispóngase a los fines de su ordenamiento </w:t>
      </w:r>
      <w:r w:rsidR="007047DB">
        <w:rPr>
          <w:rFonts w:ascii="Arial" w:hAnsi="Arial" w:cs="Arial"/>
          <w:sz w:val="24"/>
        </w:rPr>
        <w:t xml:space="preserve">administrativo, la </w:t>
      </w:r>
      <w:r w:rsidR="007047DB">
        <w:rPr>
          <w:rFonts w:ascii="Arial" w:hAnsi="Arial" w:cs="Arial"/>
          <w:sz w:val="24"/>
        </w:rPr>
        <w:br/>
        <w:t xml:space="preserve">                        i</w:t>
      </w:r>
      <w:r w:rsidR="00996E1C">
        <w:rPr>
          <w:rFonts w:ascii="Arial" w:hAnsi="Arial" w:cs="Arial"/>
          <w:sz w:val="24"/>
        </w:rPr>
        <w:t>nclusión</w:t>
      </w:r>
      <w:r>
        <w:rPr>
          <w:rFonts w:ascii="Arial" w:hAnsi="Arial" w:cs="Arial"/>
          <w:sz w:val="24"/>
        </w:rPr>
        <w:t xml:space="preserve"> de la presente en el Texto Ordenado correspondiente.-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7047DB">
        <w:rPr>
          <w:rFonts w:ascii="Arial" w:hAnsi="Arial" w:cs="Arial"/>
          <w:b/>
          <w:sz w:val="24"/>
          <w:u w:val="single"/>
        </w:rPr>
        <w:t>3</w:t>
      </w:r>
      <w:r>
        <w:rPr>
          <w:rFonts w:ascii="Arial" w:hAnsi="Arial" w:cs="Arial"/>
          <w:b/>
          <w:sz w:val="24"/>
          <w:u w:val="single"/>
        </w:rPr>
        <w:t>º.-</w:t>
      </w:r>
      <w:r w:rsidRPr="007047D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:rsidR="00E21321" w:rsidRDefault="00E21321" w:rsidP="007047D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7047DB">
        <w:rPr>
          <w:rFonts w:ascii="Arial" w:hAnsi="Arial" w:cs="Arial"/>
          <w:sz w:val="24"/>
        </w:rPr>
        <w:t>trece</w:t>
      </w:r>
      <w:r>
        <w:rPr>
          <w:rFonts w:ascii="Arial" w:hAnsi="Arial" w:cs="Arial"/>
          <w:sz w:val="24"/>
        </w:rPr>
        <w:t xml:space="preserve"> </w:t>
      </w:r>
      <w:r w:rsidR="007047DB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7047DB">
        <w:rPr>
          <w:rFonts w:ascii="Arial" w:hAnsi="Arial" w:cs="Arial"/>
          <w:sz w:val="24"/>
        </w:rPr>
        <w:t>noviembre</w:t>
      </w:r>
      <w:r>
        <w:rPr>
          <w:rFonts w:ascii="Arial" w:hAnsi="Arial" w:cs="Arial"/>
          <w:sz w:val="24"/>
        </w:rPr>
        <w:t xml:space="preserve"> del año dos mil</w:t>
      </w:r>
      <w:r w:rsidR="007047DB">
        <w:rPr>
          <w:rFonts w:ascii="Arial" w:hAnsi="Arial" w:cs="Arial"/>
          <w:sz w:val="24"/>
        </w:rPr>
        <w:t xml:space="preserve"> veinticuatro</w:t>
      </w:r>
      <w:r>
        <w:rPr>
          <w:rFonts w:ascii="Arial" w:hAnsi="Arial" w:cs="Arial"/>
          <w:sz w:val="24"/>
        </w:rPr>
        <w:t>.-</w:t>
      </w:r>
    </w:p>
    <w:p w:rsidR="00E21321" w:rsidRDefault="00E21321" w:rsidP="00E21321">
      <w:pPr>
        <w:jc w:val="both"/>
        <w:rPr>
          <w:rFonts w:ascii="Arial" w:hAnsi="Arial" w:cs="Arial"/>
          <w:sz w:val="24"/>
        </w:rPr>
      </w:pPr>
    </w:p>
    <w:p w:rsidR="005D56AE" w:rsidRDefault="005D56AE" w:rsidP="00E21321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7047DB" w:rsidTr="007047DB">
        <w:tc>
          <w:tcPr>
            <w:tcW w:w="4304" w:type="dxa"/>
            <w:shd w:val="clear" w:color="auto" w:fill="auto"/>
          </w:tcPr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7047DB" w:rsidRPr="007047DB" w:rsidRDefault="007047DB" w:rsidP="007047D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7047DB" w:rsidRDefault="007047DB" w:rsidP="007047D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7047DB" w:rsidRPr="007047DB" w:rsidRDefault="007047DB" w:rsidP="007047D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E21321" w:rsidRDefault="00E21321" w:rsidP="00F36A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1321" w:rsidRPr="009E0FA9" w:rsidRDefault="00E21321" w:rsidP="007047D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</w:r>
      <w:r w:rsidR="009E0FA9">
        <w:rPr>
          <w:rFonts w:ascii="Arial" w:hAnsi="Arial" w:cs="Arial"/>
          <w:b/>
          <w:sz w:val="24"/>
        </w:rPr>
        <w:tab/>
        <w:t>15 NOV 2024</w:t>
      </w:r>
    </w:p>
    <w:p w:rsidR="00E21321" w:rsidRDefault="00E21321" w:rsidP="007047D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E21321" w:rsidRDefault="00E21321" w:rsidP="007047DB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E21321" w:rsidRDefault="00E21321" w:rsidP="007047D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Pr="007047D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</w:t>
      </w:r>
      <w:r w:rsidR="005D56AE">
        <w:rPr>
          <w:rFonts w:ascii="Arial" w:hAnsi="Arial" w:cs="Arial"/>
          <w:b/>
          <w:sz w:val="24"/>
          <w:u w:val="single"/>
        </w:rPr>
        <w:t xml:space="preserve"> </w:t>
      </w:r>
      <w:r w:rsidR="009E0FA9">
        <w:rPr>
          <w:rFonts w:ascii="Arial" w:hAnsi="Arial" w:cs="Arial"/>
          <w:b/>
          <w:sz w:val="24"/>
          <w:u w:val="single"/>
        </w:rPr>
        <w:t>9104</w:t>
      </w:r>
      <w:bookmarkStart w:id="0" w:name="_GoBack"/>
      <w:bookmarkEnd w:id="0"/>
      <w:r w:rsidR="005D56AE">
        <w:rPr>
          <w:rFonts w:ascii="Arial" w:hAnsi="Arial" w:cs="Arial"/>
          <w:b/>
          <w:sz w:val="24"/>
          <w:u w:val="single"/>
        </w:rPr>
        <w:t xml:space="preserve">     </w:t>
      </w:r>
      <w:r>
        <w:rPr>
          <w:rFonts w:ascii="Arial" w:hAnsi="Arial" w:cs="Arial"/>
          <w:b/>
          <w:sz w:val="24"/>
          <w:u w:val="single"/>
        </w:rPr>
        <w:t xml:space="preserve">        /24.-</w:t>
      </w:r>
    </w:p>
    <w:p w:rsidR="00E21321" w:rsidRDefault="00E21321" w:rsidP="007047D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E21321" w:rsidRPr="00E21321" w:rsidRDefault="00E21321" w:rsidP="007047D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sectPr w:rsidR="00E21321" w:rsidRPr="00E21321" w:rsidSect="00E21321">
      <w:headerReference w:type="default" r:id="rId7"/>
      <w:footerReference w:type="even" r:id="rId8"/>
      <w:footerReference w:type="default" r:id="rId9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21" w:rsidRDefault="00E21321" w:rsidP="00E21321">
      <w:pPr>
        <w:spacing w:after="0" w:line="240" w:lineRule="auto"/>
      </w:pPr>
      <w:r>
        <w:separator/>
      </w:r>
    </w:p>
  </w:endnote>
  <w:endnote w:type="continuationSeparator" w:id="0">
    <w:p w:rsidR="00E21321" w:rsidRDefault="00E21321" w:rsidP="00E2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21" w:rsidRDefault="00E21321" w:rsidP="00D34F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1321" w:rsidRDefault="00E21321" w:rsidP="00E2132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21" w:rsidRDefault="00E21321" w:rsidP="00D34F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0FA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21321" w:rsidRDefault="00E21321" w:rsidP="00E2132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21" w:rsidRDefault="00E21321" w:rsidP="00E21321">
      <w:pPr>
        <w:spacing w:after="0" w:line="240" w:lineRule="auto"/>
      </w:pPr>
      <w:r>
        <w:separator/>
      </w:r>
    </w:p>
  </w:footnote>
  <w:footnote w:type="continuationSeparator" w:id="0">
    <w:p w:rsidR="00E21321" w:rsidRDefault="00E21321" w:rsidP="00E2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321" w:rsidRDefault="00E21321" w:rsidP="00E21321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4312920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1321" w:rsidRDefault="00E21321" w:rsidP="00E21321">
    <w:pPr>
      <w:pStyle w:val="Encabezado"/>
      <w:tabs>
        <w:tab w:val="clear" w:pos="4252"/>
        <w:tab w:val="clear" w:pos="8504"/>
      </w:tabs>
      <w:jc w:val="center"/>
      <w:rPr>
        <w:rFonts w:ascii="Arial" w:eastAsia="Calibri" w:hAnsi="Arial" w:cs="Arial"/>
        <w:sz w:val="18"/>
        <w:szCs w:val="18"/>
      </w:rPr>
    </w:pPr>
  </w:p>
  <w:p w:rsidR="00E21321" w:rsidRPr="00FE29EC" w:rsidRDefault="00E21321" w:rsidP="00E21321">
    <w:pPr>
      <w:pStyle w:val="Encabezado"/>
      <w:tabs>
        <w:tab w:val="clear" w:pos="4252"/>
        <w:tab w:val="clear" w:pos="8504"/>
      </w:tabs>
      <w:ind w:left="1416" w:firstLine="708"/>
      <w:rPr>
        <w:rFonts w:ascii="Calibri" w:eastAsia="Calibri" w:hAnsi="Calibri"/>
        <w:sz w:val="18"/>
        <w:szCs w:val="18"/>
      </w:rPr>
    </w:pPr>
    <w:r w:rsidRPr="00FE29EC">
      <w:rPr>
        <w:rFonts w:ascii="Arial" w:eastAsia="Calibri" w:hAnsi="Arial" w:cs="Arial"/>
        <w:sz w:val="18"/>
        <w:szCs w:val="18"/>
      </w:rPr>
      <w:t>"Año 2024 - 30 Aniversario de la</w:t>
    </w:r>
    <w:r>
      <w:rPr>
        <w:rFonts w:ascii="Arial" w:eastAsia="Calibri" w:hAnsi="Arial" w:cs="Arial"/>
        <w:sz w:val="18"/>
        <w:szCs w:val="18"/>
      </w:rPr>
      <w:t>s</w:t>
    </w:r>
    <w:r w:rsidRPr="00FE29EC">
      <w:rPr>
        <w:rFonts w:ascii="Arial" w:eastAsia="Calibri" w:hAnsi="Arial" w:cs="Arial"/>
        <w:sz w:val="18"/>
        <w:szCs w:val="18"/>
      </w:rPr>
      <w:t xml:space="preserve"> reformas</w:t>
    </w:r>
  </w:p>
  <w:p w:rsidR="00E21321" w:rsidRPr="00FE29EC" w:rsidRDefault="00E21321" w:rsidP="00E21321">
    <w:pPr>
      <w:ind w:left="1416"/>
      <w:rPr>
        <w:rFonts w:ascii="Calibri" w:eastAsia="Calibri" w:hAnsi="Calibri"/>
        <w:sz w:val="18"/>
        <w:szCs w:val="18"/>
      </w:rPr>
    </w:pPr>
    <w:r>
      <w:rPr>
        <w:rFonts w:ascii="Arial" w:eastAsia="Calibri" w:hAnsi="Arial" w:cs="Arial"/>
        <w:sz w:val="18"/>
        <w:szCs w:val="18"/>
      </w:rPr>
      <w:t xml:space="preserve">    </w:t>
    </w:r>
    <w:proofErr w:type="gramStart"/>
    <w:r w:rsidRPr="00FE29EC">
      <w:rPr>
        <w:rFonts w:ascii="Arial" w:eastAsia="Calibri" w:hAnsi="Arial" w:cs="Arial"/>
        <w:sz w:val="18"/>
        <w:szCs w:val="18"/>
      </w:rPr>
      <w:t>de</w:t>
    </w:r>
    <w:proofErr w:type="gramEnd"/>
    <w:r w:rsidRPr="00FE29EC">
      <w:rPr>
        <w:rFonts w:ascii="Arial" w:eastAsia="Calibri" w:hAnsi="Arial" w:cs="Arial"/>
        <w:sz w:val="18"/>
        <w:szCs w:val="18"/>
      </w:rPr>
      <w:t xml:space="preserve"> la Constitución Nacional y la Constitución Provincial"</w:t>
    </w:r>
  </w:p>
  <w:p w:rsidR="00E21321" w:rsidRDefault="00E21321" w:rsidP="00E21321">
    <w:pPr>
      <w:pStyle w:val="Encabezado"/>
      <w:tabs>
        <w:tab w:val="clear" w:pos="4252"/>
        <w:tab w:val="clear" w:pos="8504"/>
      </w:tabs>
    </w:pPr>
  </w:p>
  <w:p w:rsidR="00E21321" w:rsidRDefault="00E213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5901"/>
    <w:multiLevelType w:val="hybridMultilevel"/>
    <w:tmpl w:val="5CDCDF40"/>
    <w:lvl w:ilvl="0" w:tplc="18467AC6">
      <w:start w:val="1"/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4AA30A9F"/>
    <w:multiLevelType w:val="hybridMultilevel"/>
    <w:tmpl w:val="5E740724"/>
    <w:lvl w:ilvl="0" w:tplc="BD32D6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20C20"/>
    <w:multiLevelType w:val="hybridMultilevel"/>
    <w:tmpl w:val="42A8BA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671A0"/>
    <w:multiLevelType w:val="hybridMultilevel"/>
    <w:tmpl w:val="998E8604"/>
    <w:lvl w:ilvl="0" w:tplc="BD32D652">
      <w:start w:val="1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21"/>
    <w:rsid w:val="0001500E"/>
    <w:rsid w:val="00022CE2"/>
    <w:rsid w:val="0002515F"/>
    <w:rsid w:val="000263E0"/>
    <w:rsid w:val="0002679B"/>
    <w:rsid w:val="0003293E"/>
    <w:rsid w:val="00033641"/>
    <w:rsid w:val="00052BA5"/>
    <w:rsid w:val="00061A70"/>
    <w:rsid w:val="00066F5E"/>
    <w:rsid w:val="000A6948"/>
    <w:rsid w:val="000D5105"/>
    <w:rsid w:val="0012406A"/>
    <w:rsid w:val="00127FDC"/>
    <w:rsid w:val="001429E3"/>
    <w:rsid w:val="001802BB"/>
    <w:rsid w:val="00182EEC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D256E"/>
    <w:rsid w:val="002D2993"/>
    <w:rsid w:val="002E406D"/>
    <w:rsid w:val="0031220E"/>
    <w:rsid w:val="00394E23"/>
    <w:rsid w:val="003954ED"/>
    <w:rsid w:val="003A3294"/>
    <w:rsid w:val="003A7010"/>
    <w:rsid w:val="003B46F7"/>
    <w:rsid w:val="003C2D99"/>
    <w:rsid w:val="003E2C1A"/>
    <w:rsid w:val="004065F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1BD9"/>
    <w:rsid w:val="00512A93"/>
    <w:rsid w:val="005472B3"/>
    <w:rsid w:val="00550212"/>
    <w:rsid w:val="00551819"/>
    <w:rsid w:val="00563DBB"/>
    <w:rsid w:val="005739B3"/>
    <w:rsid w:val="005C3A75"/>
    <w:rsid w:val="005D56AE"/>
    <w:rsid w:val="00607563"/>
    <w:rsid w:val="00613CA4"/>
    <w:rsid w:val="006274F0"/>
    <w:rsid w:val="00632B1F"/>
    <w:rsid w:val="00646F21"/>
    <w:rsid w:val="006560DD"/>
    <w:rsid w:val="00691B73"/>
    <w:rsid w:val="00695F8B"/>
    <w:rsid w:val="006B046F"/>
    <w:rsid w:val="006B7B14"/>
    <w:rsid w:val="006C5206"/>
    <w:rsid w:val="006E194D"/>
    <w:rsid w:val="006F7F27"/>
    <w:rsid w:val="007031EE"/>
    <w:rsid w:val="007047DB"/>
    <w:rsid w:val="00732CA2"/>
    <w:rsid w:val="0073543F"/>
    <w:rsid w:val="007510EC"/>
    <w:rsid w:val="007611F2"/>
    <w:rsid w:val="00764428"/>
    <w:rsid w:val="0076736D"/>
    <w:rsid w:val="00770649"/>
    <w:rsid w:val="007B32B3"/>
    <w:rsid w:val="007C2B37"/>
    <w:rsid w:val="007C67D6"/>
    <w:rsid w:val="007D420D"/>
    <w:rsid w:val="007E24F0"/>
    <w:rsid w:val="007F0BFC"/>
    <w:rsid w:val="00806566"/>
    <w:rsid w:val="008154FC"/>
    <w:rsid w:val="0082608E"/>
    <w:rsid w:val="008274A7"/>
    <w:rsid w:val="00827A3A"/>
    <w:rsid w:val="0083038C"/>
    <w:rsid w:val="0085797B"/>
    <w:rsid w:val="008A7810"/>
    <w:rsid w:val="008B2467"/>
    <w:rsid w:val="008B6B37"/>
    <w:rsid w:val="008C6544"/>
    <w:rsid w:val="008D024F"/>
    <w:rsid w:val="008F5069"/>
    <w:rsid w:val="009103BE"/>
    <w:rsid w:val="009152D6"/>
    <w:rsid w:val="00926467"/>
    <w:rsid w:val="00930E87"/>
    <w:rsid w:val="00941554"/>
    <w:rsid w:val="00950BD8"/>
    <w:rsid w:val="00985877"/>
    <w:rsid w:val="00991B9F"/>
    <w:rsid w:val="00996E1C"/>
    <w:rsid w:val="009D1CCD"/>
    <w:rsid w:val="009E0FA9"/>
    <w:rsid w:val="009E188F"/>
    <w:rsid w:val="009E7AC7"/>
    <w:rsid w:val="009F3383"/>
    <w:rsid w:val="00A07F58"/>
    <w:rsid w:val="00A239C3"/>
    <w:rsid w:val="00A24C06"/>
    <w:rsid w:val="00A35A0E"/>
    <w:rsid w:val="00A36A5C"/>
    <w:rsid w:val="00A567A2"/>
    <w:rsid w:val="00A66958"/>
    <w:rsid w:val="00A672B5"/>
    <w:rsid w:val="00A97762"/>
    <w:rsid w:val="00AA1792"/>
    <w:rsid w:val="00AB11F6"/>
    <w:rsid w:val="00AC409E"/>
    <w:rsid w:val="00B10BDC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7499D"/>
    <w:rsid w:val="00CA719A"/>
    <w:rsid w:val="00CC0EDA"/>
    <w:rsid w:val="00CC5DEF"/>
    <w:rsid w:val="00CD5768"/>
    <w:rsid w:val="00CE08A6"/>
    <w:rsid w:val="00D11451"/>
    <w:rsid w:val="00D1648D"/>
    <w:rsid w:val="00D35F78"/>
    <w:rsid w:val="00D568FE"/>
    <w:rsid w:val="00D66F3C"/>
    <w:rsid w:val="00D70CFE"/>
    <w:rsid w:val="00D97782"/>
    <w:rsid w:val="00DA23B6"/>
    <w:rsid w:val="00DA51EE"/>
    <w:rsid w:val="00DA6E2E"/>
    <w:rsid w:val="00DF108B"/>
    <w:rsid w:val="00E014DC"/>
    <w:rsid w:val="00E21321"/>
    <w:rsid w:val="00E43F05"/>
    <w:rsid w:val="00E74C23"/>
    <w:rsid w:val="00ED1868"/>
    <w:rsid w:val="00ED4D7F"/>
    <w:rsid w:val="00F14885"/>
    <w:rsid w:val="00F22560"/>
    <w:rsid w:val="00F36A78"/>
    <w:rsid w:val="00F83D21"/>
    <w:rsid w:val="00FB1EE5"/>
    <w:rsid w:val="00FB674A"/>
    <w:rsid w:val="00FB747C"/>
    <w:rsid w:val="00FC3088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CF3186-9C00-4D36-98A7-B58FFF65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21"/>
  </w:style>
  <w:style w:type="paragraph" w:styleId="Piedepgina">
    <w:name w:val="footer"/>
    <w:basedOn w:val="Normal"/>
    <w:link w:val="PiedepginaCar"/>
    <w:uiPriority w:val="99"/>
    <w:unhideWhenUsed/>
    <w:rsid w:val="00E21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21"/>
  </w:style>
  <w:style w:type="character" w:styleId="Nmerodepgina">
    <w:name w:val="page number"/>
    <w:basedOn w:val="Fuentedeprrafopredeter"/>
    <w:uiPriority w:val="99"/>
    <w:semiHidden/>
    <w:unhideWhenUsed/>
    <w:rsid w:val="00E21321"/>
  </w:style>
  <w:style w:type="paragraph" w:styleId="Prrafodelista">
    <w:name w:val="List Paragraph"/>
    <w:basedOn w:val="Normal"/>
    <w:uiPriority w:val="34"/>
    <w:qFormat/>
    <w:rsid w:val="002D25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C79B02EC</Template>
  <TotalTime>0</TotalTime>
  <Pages>4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maxi</cp:lastModifiedBy>
  <cp:revision>2</cp:revision>
  <dcterms:created xsi:type="dcterms:W3CDTF">2024-11-19T16:36:00Z</dcterms:created>
  <dcterms:modified xsi:type="dcterms:W3CDTF">2024-11-19T16:36:00Z</dcterms:modified>
</cp:coreProperties>
</file>